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0477" w:rsidRPr="004C1499" w:rsidRDefault="00280477" w:rsidP="00280477">
      <w:pPr>
        <w:shd w:val="clear" w:color="auto" w:fill="FFFFFF"/>
        <w:spacing w:after="100" w:afterAutospacing="1"/>
        <w:outlineLvl w:val="1"/>
        <w:rPr>
          <w:rFonts w:eastAsia="Times New Roman" w:cstheme="minorHAnsi"/>
          <w:b/>
          <w:bCs/>
          <w:color w:val="00B050"/>
          <w:spacing w:val="-12"/>
          <w:sz w:val="40"/>
          <w:szCs w:val="40"/>
          <w:lang w:eastAsia="es-ES_tradnl"/>
        </w:rPr>
      </w:pPr>
      <w:r w:rsidRPr="004C1499">
        <w:rPr>
          <w:rFonts w:eastAsia="Times New Roman" w:cstheme="minorHAnsi"/>
          <w:b/>
          <w:bCs/>
          <w:color w:val="00B050"/>
          <w:spacing w:val="-12"/>
          <w:sz w:val="40"/>
          <w:szCs w:val="40"/>
          <w:lang w:eastAsia="es-ES_tradnl"/>
        </w:rPr>
        <w:t>Modelo de Declaración de Posición de una Coalición para los Medios</w:t>
      </w:r>
    </w:p>
    <w:p w:rsidR="0002110E" w:rsidRPr="0002110E" w:rsidRDefault="0002110E" w:rsidP="0002110E">
      <w:pPr>
        <w:shd w:val="clear" w:color="auto" w:fill="FFFFFF"/>
        <w:spacing w:after="300"/>
        <w:rPr>
          <w:rFonts w:eastAsia="Times New Roman" w:cstheme="minorHAnsi"/>
          <w:color w:val="555555"/>
          <w:lang w:eastAsia="es-ES_tradnl"/>
        </w:rPr>
      </w:pPr>
      <w:r w:rsidRPr="0002110E">
        <w:rPr>
          <w:rFonts w:eastAsia="Times New Roman" w:cstheme="minorHAnsi"/>
          <w:color w:val="555555"/>
          <w:lang w:eastAsia="es-ES_tradnl"/>
        </w:rPr>
        <w:t>La navegación del paciente en la atención médica es un concepto multidimensional impulsado por el doble objetivo de mejorar los resultados del paciente y la experiencia del paciente con un sistema de atención médica. Al ayudar a un paciente diagnosticado con cáncer, por ejemplo, a averiguar dónde ir, cuándo y cómo, además, por ejemplo, qué preguntas hacer durante la visita al médico, los servicios de navegación empoderan al paciente y hacen más eficiente la prestación de atención a esa persona, especialmente cuando la mayoría de los sistemas de salud de los países están fragmentados y son complejos.</w:t>
      </w:r>
    </w:p>
    <w:p w:rsidR="0002110E" w:rsidRPr="0002110E" w:rsidRDefault="0002110E" w:rsidP="0002110E">
      <w:pPr>
        <w:shd w:val="clear" w:color="auto" w:fill="FFFFFF"/>
        <w:spacing w:after="300"/>
        <w:rPr>
          <w:rFonts w:eastAsia="Times New Roman" w:cstheme="minorHAnsi"/>
          <w:color w:val="555555"/>
          <w:lang w:eastAsia="es-ES_tradnl"/>
        </w:rPr>
      </w:pPr>
      <w:r w:rsidRPr="0002110E">
        <w:rPr>
          <w:rFonts w:eastAsia="Times New Roman" w:cstheme="minorHAnsi"/>
          <w:color w:val="555555"/>
          <w:lang w:eastAsia="es-ES_tradnl"/>
        </w:rPr>
        <w:t>La buena navegación del paciente es cada vez más reconocida internacionalmente como un factor que determina qué tan bien le va al paciente con su diagnóstico. Existe una fuerte evidencia de que la navegación de pacientes con cáncer de mama conduce a un diagnóstico más temprano, menos pruebas innecesarias y mejores resultados.</w:t>
      </w:r>
    </w:p>
    <w:p w:rsidR="0002110E" w:rsidRPr="0002110E" w:rsidRDefault="0002110E" w:rsidP="0002110E">
      <w:pPr>
        <w:shd w:val="clear" w:color="auto" w:fill="FFFFFF"/>
        <w:spacing w:after="300"/>
        <w:rPr>
          <w:rFonts w:eastAsia="Times New Roman" w:cstheme="minorHAnsi"/>
          <w:color w:val="555555"/>
          <w:lang w:eastAsia="es-ES_tradnl"/>
        </w:rPr>
      </w:pPr>
      <w:r w:rsidRPr="0002110E">
        <w:rPr>
          <w:rFonts w:eastAsia="Times New Roman" w:cstheme="minorHAnsi"/>
          <w:color w:val="555555"/>
          <w:lang w:eastAsia="es-ES_tradnl"/>
        </w:rPr>
        <w:t>Algunos servicios de navegación para pacientes son proporcionados por enfermeras profesionales o trabajadores sociales capacitados contratados por el propio sistema de atención médica (particularmente en países de ingresos más altos), pero muchos de los mismos servicios no clínicos también son brindados por defensores de pacientes a nivel comunitario. Debido a que la mayoría de los consultorios y clínicas están cerrados durante la pandemia de Covid-19, muchos han recurrido a organizaciones de defensa de los pacientes para satisfacer sus necesidades de navegación.</w:t>
      </w:r>
    </w:p>
    <w:p w:rsidR="0002110E" w:rsidRPr="0002110E" w:rsidRDefault="0002110E" w:rsidP="0002110E">
      <w:pPr>
        <w:shd w:val="clear" w:color="auto" w:fill="FFFFFF"/>
        <w:spacing w:after="300"/>
        <w:rPr>
          <w:rFonts w:eastAsia="Times New Roman" w:cstheme="minorHAnsi"/>
          <w:color w:val="555555"/>
          <w:lang w:eastAsia="es-ES_tradnl"/>
        </w:rPr>
      </w:pPr>
      <w:r w:rsidRPr="0002110E">
        <w:rPr>
          <w:rFonts w:eastAsia="Times New Roman" w:cstheme="minorHAnsi"/>
          <w:color w:val="555555"/>
          <w:lang w:eastAsia="es-ES_tradnl"/>
        </w:rPr>
        <w:t>Los servicios de navegación proporcionados por los grupos de defensa de los pacientes durante la pandemia han sido muchos, algunos de los cuales incluyen:</w:t>
      </w:r>
    </w:p>
    <w:p w:rsidR="0002110E" w:rsidRPr="0002110E" w:rsidRDefault="0002110E" w:rsidP="0002110E">
      <w:pPr>
        <w:pStyle w:val="Prrafodelista"/>
        <w:numPr>
          <w:ilvl w:val="0"/>
          <w:numId w:val="4"/>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Información y asesoramiento sobre Covid-19 y riesgos de salud específicos para pacientes con enfermedades o afecciones específicas;</w:t>
      </w:r>
    </w:p>
    <w:p w:rsidR="0002110E" w:rsidRPr="0002110E" w:rsidRDefault="0002110E" w:rsidP="0002110E">
      <w:pPr>
        <w:pStyle w:val="Prrafodelista"/>
        <w:numPr>
          <w:ilvl w:val="0"/>
          <w:numId w:val="4"/>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Asesoramiento personalizado para determinar si un paciente debe salir de su casa para una visita médica, una prueba de diagnóstico, para continuar recibiendo su medicamento, o incluso si es seguro ir a la farmacia;</w:t>
      </w:r>
    </w:p>
    <w:p w:rsidR="0002110E" w:rsidRPr="0002110E" w:rsidRDefault="0002110E" w:rsidP="0002110E">
      <w:pPr>
        <w:pStyle w:val="Prrafodelista"/>
        <w:numPr>
          <w:ilvl w:val="0"/>
          <w:numId w:val="4"/>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Apoyo logístico para que un medicamento o suministros de salud relacionados se entreguen en el hogar de un paciente y/o ayuda con el proceso para aumentar la cantidad de medicamentos recetados para limitar el número de viajes al exterior;</w:t>
      </w:r>
    </w:p>
    <w:p w:rsidR="0002110E" w:rsidRPr="0002110E" w:rsidRDefault="0002110E" w:rsidP="0002110E">
      <w:pPr>
        <w:pStyle w:val="Prrafodelista"/>
        <w:numPr>
          <w:ilvl w:val="0"/>
          <w:numId w:val="4"/>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Arreglos privados de transporte compartido para pacientes y sus cuidadores para evitar el transporte público a fin de llegar a los servicios de atención médica necesarios;</w:t>
      </w:r>
    </w:p>
    <w:p w:rsidR="0002110E" w:rsidRPr="0002110E" w:rsidRDefault="0002110E" w:rsidP="0002110E">
      <w:pPr>
        <w:pStyle w:val="Prrafodelista"/>
        <w:numPr>
          <w:ilvl w:val="0"/>
          <w:numId w:val="4"/>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Asesoramiento y asistencia en la preparación de pacientes para teleconsultas con un médico u otro proveedor de atención médica;</w:t>
      </w:r>
    </w:p>
    <w:p w:rsidR="0002110E" w:rsidRPr="0002110E" w:rsidRDefault="0002110E" w:rsidP="0002110E">
      <w:pPr>
        <w:pStyle w:val="Prrafodelista"/>
        <w:numPr>
          <w:ilvl w:val="0"/>
          <w:numId w:val="4"/>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Educación y asesoramiento sobre el autocuidado cuando se posponen o cancelan pruebas de diagnóstico, citas médicas o procedimientos médicos; y</w:t>
      </w:r>
    </w:p>
    <w:p w:rsidR="0002110E" w:rsidRPr="0002110E" w:rsidRDefault="0002110E" w:rsidP="0002110E">
      <w:pPr>
        <w:pStyle w:val="Prrafodelista"/>
        <w:numPr>
          <w:ilvl w:val="0"/>
          <w:numId w:val="4"/>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lastRenderedPageBreak/>
        <w:t>Cómo obtener las autorizaciones necesarias de diferentes agencias de salud (para superar una barrera burocrática de acceso) sin tener que hacerlo en persona.</w:t>
      </w:r>
    </w:p>
    <w:p w:rsidR="0002110E" w:rsidRPr="0002110E" w:rsidRDefault="0002110E" w:rsidP="0002110E">
      <w:pPr>
        <w:shd w:val="clear" w:color="auto" w:fill="FFFFFF"/>
        <w:spacing w:after="300"/>
        <w:rPr>
          <w:rFonts w:eastAsia="Times New Roman" w:cstheme="minorHAnsi"/>
          <w:color w:val="555555"/>
          <w:lang w:eastAsia="es-ES_tradnl"/>
        </w:rPr>
      </w:pPr>
      <w:r w:rsidRPr="0002110E">
        <w:rPr>
          <w:rFonts w:eastAsia="Times New Roman" w:cstheme="minorHAnsi"/>
          <w:color w:val="555555"/>
          <w:lang w:eastAsia="es-ES_tradnl"/>
        </w:rPr>
        <w:t>Además de las situaciones específicas de una pandemia, las organizaciones de defensa del paciente también manejan rutinariamente las preguntas que los pacientes tienen sobre su enfermedad, brindan apoyo emocional para abordar la ansiedad, brindan consejos nutricionales cuando la dieta es importante para el autocuidado y brindan la información más reciente sobre los medicamentos y las pruebas diagnósticas que se utilizan normalmente para tratar o diagnosticar una enfermedad o afección específica.</w:t>
      </w:r>
    </w:p>
    <w:p w:rsidR="0002110E" w:rsidRPr="0002110E" w:rsidRDefault="0002110E" w:rsidP="0002110E">
      <w:pPr>
        <w:shd w:val="clear" w:color="auto" w:fill="FFFFFF"/>
        <w:spacing w:after="300"/>
        <w:rPr>
          <w:rFonts w:eastAsia="Times New Roman" w:cstheme="minorHAnsi"/>
          <w:color w:val="555555"/>
          <w:lang w:eastAsia="es-ES_tradnl"/>
        </w:rPr>
      </w:pPr>
      <w:r w:rsidRPr="0002110E">
        <w:rPr>
          <w:rFonts w:eastAsia="Times New Roman" w:cstheme="minorHAnsi"/>
          <w:color w:val="555555"/>
          <w:lang w:eastAsia="es-ES_tradnl"/>
        </w:rPr>
        <w:t>Es importante destacar que la mayoría de estos servicios de navegación son proporcionados por defensores de manera virtual y generalmente sin costo para el paciente o el cuidador participante. Esto es fundamental para las poblaciones de bajos ingresos y vulnerables con recursos limitados o la accesibilidad al asesoramiento profesional privado.</w:t>
      </w:r>
    </w:p>
    <w:p w:rsidR="0002110E" w:rsidRPr="0002110E" w:rsidRDefault="0002110E" w:rsidP="0002110E">
      <w:pPr>
        <w:shd w:val="clear" w:color="auto" w:fill="FFFFFF"/>
        <w:spacing w:after="300"/>
        <w:rPr>
          <w:rFonts w:eastAsia="Times New Roman" w:cstheme="minorHAnsi"/>
          <w:color w:val="555555"/>
          <w:lang w:eastAsia="es-ES_tradnl"/>
        </w:rPr>
      </w:pPr>
      <w:r w:rsidRPr="0002110E">
        <w:rPr>
          <w:rFonts w:eastAsia="Times New Roman" w:cstheme="minorHAnsi"/>
          <w:color w:val="555555"/>
          <w:lang w:eastAsia="es-ES_tradnl"/>
        </w:rPr>
        <w:t>Dada la variedad de servicios brindados y el crecimiento de la demanda de este tipo de asistencia, ahora es el momento de que el gobierno y el sistema de atención médica financien los programas de navegación para pacientes:</w:t>
      </w:r>
    </w:p>
    <w:p w:rsidR="0002110E" w:rsidRPr="0002110E" w:rsidRDefault="0002110E" w:rsidP="0002110E">
      <w:pPr>
        <w:numPr>
          <w:ilvl w:val="0"/>
          <w:numId w:val="2"/>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Las difíciles circunstancias económicas, exacerbadas por la pandemia y que se prevé que ocurran en el futuro, aumentarán la demanda de servicios de atención médica asequibles. Los programas de navegación pueden ayudar a garantizar el acceso continuo a la salud durante el difícil camino por delante.</w:t>
      </w:r>
    </w:p>
    <w:p w:rsidR="0002110E" w:rsidRPr="0002110E" w:rsidRDefault="0002110E" w:rsidP="0002110E">
      <w:pPr>
        <w:numPr>
          <w:ilvl w:val="0"/>
          <w:numId w:val="2"/>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El apoyo del gobierno puede ayudar a los defensores a profesionalizar los programas de navegación y garantizar que el público esté al tanto de su disponibilidad. La transparencia y la rendición de cuentas serán mayores con fuentes públicas de financiación;</w:t>
      </w:r>
    </w:p>
    <w:p w:rsidR="0002110E" w:rsidRPr="0002110E" w:rsidRDefault="0002110E" w:rsidP="0002110E">
      <w:pPr>
        <w:numPr>
          <w:ilvl w:val="0"/>
          <w:numId w:val="2"/>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La navegación del paciente puede generar ahorros de costos con el tiempo tanto para el sistema de salud como para los pacientes individuales que deben pagar los servicios de su bolsillo. En t</w:t>
      </w:r>
      <w:r>
        <w:rPr>
          <w:rFonts w:eastAsia="Times New Roman" w:cstheme="minorHAnsi"/>
          <w:color w:val="555555"/>
          <w:lang w:eastAsia="es-ES_tradnl"/>
        </w:rPr>
        <w:t>érminos económicos, hay menos “</w:t>
      </w:r>
      <w:r w:rsidRPr="0002110E">
        <w:rPr>
          <w:rFonts w:eastAsia="Times New Roman" w:cstheme="minorHAnsi"/>
          <w:color w:val="555555"/>
          <w:lang w:eastAsia="es-ES_tradnl"/>
        </w:rPr>
        <w:t>costos de transacción</w:t>
      </w:r>
      <w:r>
        <w:rPr>
          <w:rFonts w:eastAsia="Times New Roman" w:cstheme="minorHAnsi"/>
          <w:color w:val="555555"/>
          <w:lang w:eastAsia="es-ES_tradnl"/>
        </w:rPr>
        <w:t>”</w:t>
      </w:r>
      <w:r w:rsidRPr="0002110E">
        <w:rPr>
          <w:rFonts w:eastAsia="Times New Roman" w:cstheme="minorHAnsi"/>
          <w:color w:val="555555"/>
          <w:lang w:eastAsia="es-ES_tradnl"/>
        </w:rPr>
        <w:t xml:space="preserve"> cuando el viaje de un paciente a través del sistema de atención médica es más suave; y</w:t>
      </w:r>
    </w:p>
    <w:p w:rsidR="0002110E" w:rsidRPr="0002110E" w:rsidRDefault="0002110E" w:rsidP="0002110E">
      <w:pPr>
        <w:numPr>
          <w:ilvl w:val="0"/>
          <w:numId w:val="2"/>
        </w:numPr>
        <w:shd w:val="clear" w:color="auto" w:fill="FFFFFF"/>
        <w:spacing w:before="100" w:beforeAutospacing="1" w:after="195"/>
        <w:rPr>
          <w:rFonts w:eastAsia="Times New Roman" w:cstheme="minorHAnsi"/>
          <w:color w:val="555555"/>
          <w:lang w:eastAsia="es-ES_tradnl"/>
        </w:rPr>
      </w:pPr>
      <w:r w:rsidRPr="0002110E">
        <w:rPr>
          <w:rFonts w:eastAsia="Times New Roman" w:cstheme="minorHAnsi"/>
          <w:color w:val="555555"/>
          <w:lang w:eastAsia="es-ES_tradnl"/>
        </w:rPr>
        <w:t>Es responsabilidad del gobierno respetar y ayudar a todos los ciudadanos a ejercer su derecho constitucional a la salud. Los expertos ven cada vez más la navegación del paciente como un enfoque eficaz para aumentar el acceso y mejorar la calidad de la atención médica, los cuales son elementos fundamentales para la protección y los derechos de salud.</w:t>
      </w:r>
    </w:p>
    <w:p w:rsidR="0002110E" w:rsidRPr="0002110E" w:rsidRDefault="0002110E" w:rsidP="0002110E">
      <w:pPr>
        <w:shd w:val="clear" w:color="auto" w:fill="FFFFFF"/>
        <w:spacing w:after="300"/>
        <w:rPr>
          <w:rFonts w:eastAsia="Times New Roman" w:cstheme="minorHAnsi"/>
          <w:color w:val="555555"/>
          <w:lang w:eastAsia="es-ES_tradnl"/>
        </w:rPr>
      </w:pPr>
      <w:r w:rsidRPr="0002110E">
        <w:rPr>
          <w:rFonts w:eastAsia="Times New Roman" w:cstheme="minorHAnsi"/>
          <w:color w:val="555555"/>
          <w:lang w:eastAsia="es-ES_tradnl"/>
        </w:rPr>
        <w:t>Para obtener más información sobre los programas de navegación de pacientes y las organizaciones de defensa de los pacientes, comuníquese con AAA </w:t>
      </w:r>
      <w:r w:rsidRPr="004C1499">
        <w:rPr>
          <w:rFonts w:eastAsia="Times New Roman" w:cstheme="minorHAnsi"/>
          <w:color w:val="00B050"/>
          <w:lang w:eastAsia="es-ES_tradnl"/>
        </w:rPr>
        <w:t>(insertar información de contacto)</w:t>
      </w:r>
      <w:r w:rsidRPr="0002110E">
        <w:rPr>
          <w:rFonts w:eastAsia="Times New Roman" w:cstheme="minorHAnsi"/>
          <w:color w:val="555555"/>
          <w:lang w:eastAsia="es-ES_tradnl"/>
        </w:rPr>
        <w:t> o acceda a más información en BBB </w:t>
      </w:r>
      <w:r w:rsidRPr="004C1499">
        <w:rPr>
          <w:rFonts w:eastAsia="Times New Roman" w:cstheme="minorHAnsi"/>
          <w:color w:val="00B050"/>
          <w:lang w:eastAsia="es-ES_tradnl"/>
        </w:rPr>
        <w:t>(insertar sitio web).</w:t>
      </w:r>
    </w:p>
    <w:sectPr w:rsidR="0002110E" w:rsidRPr="0002110E" w:rsidSect="009C14B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D45CC"/>
    <w:multiLevelType w:val="multilevel"/>
    <w:tmpl w:val="D5C69F24"/>
    <w:lvl w:ilvl="0">
      <w:start w:val="1"/>
      <w:numFmt w:val="decimal"/>
      <w:lvlText w:val="%1."/>
      <w:lvlJc w:val="left"/>
      <w:pPr>
        <w:tabs>
          <w:tab w:val="num" w:pos="720"/>
        </w:tabs>
        <w:ind w:left="720" w:hanging="360"/>
      </w:pPr>
      <w:rPr>
        <w:rFonts w:hint="default"/>
        <w:color w:val="00B05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265E0"/>
    <w:multiLevelType w:val="multilevel"/>
    <w:tmpl w:val="59D47B3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9C1122"/>
    <w:multiLevelType w:val="multilevel"/>
    <w:tmpl w:val="F578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F930CB"/>
    <w:multiLevelType w:val="multilevel"/>
    <w:tmpl w:val="B130EEEA"/>
    <w:lvl w:ilvl="0">
      <w:start w:val="1"/>
      <w:numFmt w:val="decimal"/>
      <w:lvlText w:val="%1."/>
      <w:lvlJc w:val="left"/>
      <w:pPr>
        <w:tabs>
          <w:tab w:val="num" w:pos="720"/>
        </w:tabs>
        <w:ind w:left="720" w:hanging="360"/>
      </w:pPr>
      <w:rPr>
        <w:color w:val="00B05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77"/>
    <w:rsid w:val="0002110E"/>
    <w:rsid w:val="001D0061"/>
    <w:rsid w:val="00280477"/>
    <w:rsid w:val="004C1499"/>
    <w:rsid w:val="009C14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975C4-6663-C840-911D-6EFF6BFE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80477"/>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0477"/>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280477"/>
    <w:pPr>
      <w:spacing w:before="100" w:beforeAutospacing="1" w:after="100" w:afterAutospacing="1"/>
    </w:pPr>
    <w:rPr>
      <w:rFonts w:ascii="Times New Roman" w:eastAsia="Times New Roman" w:hAnsi="Times New Roman" w:cs="Times New Roman"/>
      <w:lang w:eastAsia="es-ES_tradnl"/>
    </w:rPr>
  </w:style>
  <w:style w:type="character" w:customStyle="1" w:styleId="text-secondary">
    <w:name w:val="text-secondary"/>
    <w:basedOn w:val="Fuentedeprrafopredeter"/>
    <w:rsid w:val="0002110E"/>
  </w:style>
  <w:style w:type="paragraph" w:styleId="Prrafodelista">
    <w:name w:val="List Paragraph"/>
    <w:basedOn w:val="Normal"/>
    <w:uiPriority w:val="34"/>
    <w:qFormat/>
    <w:rsid w:val="00021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73354">
      <w:bodyDiv w:val="1"/>
      <w:marLeft w:val="0"/>
      <w:marRight w:val="0"/>
      <w:marTop w:val="0"/>
      <w:marBottom w:val="0"/>
      <w:divBdr>
        <w:top w:val="none" w:sz="0" w:space="0" w:color="auto"/>
        <w:left w:val="none" w:sz="0" w:space="0" w:color="auto"/>
        <w:bottom w:val="none" w:sz="0" w:space="0" w:color="auto"/>
        <w:right w:val="none" w:sz="0" w:space="0" w:color="auto"/>
      </w:divBdr>
    </w:div>
    <w:div w:id="178541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Martiarena</dc:creator>
  <cp:keywords/>
  <dc:description/>
  <cp:lastModifiedBy>Rosana Martiarena</cp:lastModifiedBy>
  <cp:revision>3</cp:revision>
  <dcterms:created xsi:type="dcterms:W3CDTF">2020-12-01T14:20:00Z</dcterms:created>
  <dcterms:modified xsi:type="dcterms:W3CDTF">2020-12-10T23:30:00Z</dcterms:modified>
</cp:coreProperties>
</file>